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创刊号配套传媒工具包</w:t>
      </w:r>
    </w:p>
    <w:p>
      <w:r>
        <w:t>南京神奇科技开发有限公司  |  2026年11月  |  首发执行版</w:t>
      </w:r>
    </w:p>
    <w:p>
      <w:r>
        <w:t>使用目的：把八页创刊号转化为公开传播、私域交流与合作对接工具。毛晓璐统一协调；本包提供待公司审定的发布文案与制作脚本，未执行账号发布。</w:t>
      </w:r>
    </w:p>
    <w:p>
      <w:pPr>
        <w:pStyle w:val="Heading2"/>
      </w:pPr>
      <w:r>
        <w:t>统一表达与行动入口</w:t>
      </w:r>
    </w:p>
    <w:p>
      <w:r>
        <w:t>主张：抗感染革命，多一条非药物路径。</w:t>
        <w:br/>
        <w:t>邀请：贡献中国实践，汇聚全球智慧。</w:t>
        <w:br/>
        <w:t>动作：获取创刊号、提出一个问题、选择一项合作。</w:t>
        <w:br/>
        <w:t>接待：毛晓璐；公司电话025-83400310。海外拨打+86 25 83400310。</w:t>
      </w:r>
    </w:p>
    <w:p>
      <w:pPr>
        <w:pStyle w:val="Heading2"/>
      </w:pPr>
      <w:r>
        <w:t>拿到后这样使用</w:t>
      </w:r>
    </w:p>
    <w:tbl>
      <w:tblPr>
        <w:tblW w:type="auto" w:w="0"/>
        <w:tblLayout w:type="fixed"/>
        <w:tblLook w:firstColumn="1" w:firstRow="1" w:lastColumn="0" w:lastRow="0" w:noHBand="0" w:noVBand="1" w:val="04A0"/>
      </w:tblPr>
      <w:tblGrid>
        <w:gridCol w:w="2376"/>
        <w:gridCol w:w="2664"/>
        <w:gridCol w:w="5184"/>
      </w:tblGrid>
      <w:tr>
        <w:trPr>
          <w:cantSplit/>
          <w:tblHeader/>
        </w:trPr>
        <w:tc>
          <w:tcPr>
            <w:tcW w:type="dxa" w:w="2376"/>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工具</w:t>
            </w:r>
          </w:p>
        </w:tc>
        <w:tc>
          <w:tcPr>
            <w:tcW w:type="dxa" w:w="2664"/>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用途</w:t>
            </w:r>
          </w:p>
        </w:tc>
        <w:tc>
          <w:tcPr>
            <w:tcW w:type="dxa" w:w="5184"/>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执行动作</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海报01 创刊邀请</w:t>
            </w:r>
          </w:p>
        </w:tc>
        <w:tc>
          <w:tcPr>
            <w:tcW w:type="dxa" w:w="266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朋友圈、社群及图文首图</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配第3页朋友圈文案；附创刊号PDF。</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海报02 中国实践</w:t>
            </w:r>
          </w:p>
        </w:tc>
        <w:tc>
          <w:tcPr>
            <w:tcW w:type="dxa" w:w="266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专业社群、研究伙伴</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配证据导读；具体结论与适用范围查看原刊第4页。</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海报03 合作征集</w:t>
            </w:r>
          </w:p>
        </w:tc>
        <w:tc>
          <w:tcPr>
            <w:tcW w:type="dxa" w:w="266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渠道、产业及项目伙伴</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配定向私信；要求回复地区、资源、意向。</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公众号与小红书文案</w:t>
            </w:r>
          </w:p>
        </w:tc>
        <w:tc>
          <w:tcPr>
            <w:tcW w:type="dxa" w:w="266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公开介绍与发现新伙伴</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按平台发布条件补充有效附件或领取方式。</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视频脚本与直播提纲</w:t>
            </w:r>
          </w:p>
        </w:tc>
        <w:tc>
          <w:tcPr>
            <w:tcW w:type="dxa" w:w="266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视频号、抖音、快手等</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由传播执行人拍摄、配音、剪辑并检查字幕。</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海外英文文案</w:t>
            </w:r>
          </w:p>
        </w:tc>
        <w:tc>
          <w:tcPr>
            <w:tcW w:type="dxa" w:w="266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LinkedIn、邮件、WhatsApp</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已有账号负责人发布；中文PDF须明确为中文版。</w:t>
            </w:r>
          </w:p>
        </w:tc>
      </w:tr>
    </w:tbl>
    <w:p>
      <w:pPr>
        <w:spacing w:after="0"/>
      </w:pPr>
    </w:p>
    <w:p>
      <w:pPr>
        <w:pStyle w:val="Heading2"/>
      </w:pPr>
      <w:r>
        <w:t>发布前核对</w:t>
      </w:r>
    </w:p>
    <w:p>
      <w:r>
        <w:t>毛晓璐确认接待安排；传播人员确认资料领取入口可用。尚未启用的官网、邮箱或二维码不放入公开文案。短视频成片、直播、账号发布和自动回复仍需公司执行，不能把脚本当作已完成视频。</w:t>
      </w:r>
    </w:p>
    <w:p>
      <w:r>
        <w:t>证据基线为《非药物路径抗感染》创刊号2026年11月版。本文不新增疗效、销售规模或收益数字。改变研究表述时重新核对原文；不同品类不共用医疗治疗宣称。</w:t>
      </w:r>
    </w:p>
    <w:p>
      <w:r>
        <w:br w:type="page"/>
      </w:r>
    </w:p>
    <w:p>
      <w:pPr>
        <w:pStyle w:val="Heading1"/>
      </w:pPr>
      <w:r>
        <w:t>一 公众号首发文案</w:t>
      </w:r>
    </w:p>
    <w:p>
      <w:pPr>
        <w:pStyle w:val="Heading2"/>
      </w:pPr>
      <w:r>
        <w:t>标题</w:t>
      </w:r>
    </w:p>
    <w:p>
      <w:r>
        <w:t>抗感染革命，多一条非药物路径｜创刊号来了</w:t>
      </w:r>
    </w:p>
    <w:p>
      <w:pPr>
        <w:pStyle w:val="Heading2"/>
      </w:pPr>
      <w:r>
        <w:t>摘要</w:t>
      </w:r>
    </w:p>
    <w:p>
      <w:r>
        <w:t>贡献中国实践，汇聚全球智慧。我们先用一份创刊号抛砖，邀请你带着问题、经验与资源，共同写下下一页。</w:t>
      </w:r>
    </w:p>
    <w:p>
      <w:pPr>
        <w:pStyle w:val="Heading2"/>
      </w:pPr>
      <w:r>
        <w:t>正文 可直接复制</w:t>
      </w:r>
    </w:p>
    <w:p>
      <w:r>
        <w:t>抗感染革命，多一条非药物路径。</w:t>
        <w:br/>
        <w:t>这是我们发起《非药物路径抗感染》合作专刊的主张。</w:t>
      </w:r>
    </w:p>
    <w:p>
      <w:r>
        <w:t>抗微生物药物耐药性（AMR）让一些感染更难处理。面对这一共同挑战，我们希望贡献已有的技术、产品和研究实践，也邀请更多伙伴提出问题、验证价值、共同推动应用。</w:t>
      </w:r>
    </w:p>
    <w:p>
      <w:r>
        <w:t>首期，我们先把自己的实践摆出来。</w:t>
        <w:br/>
        <w:t>“抗微生物的物理方法”专利技术、长效抗菌材料及其相关研究，是本刊讨论非药物路径的起点。代表性证据包括2024年院内感染预防随机对照研究，以及2025年在线发表的MRSA局部感染病例报告。研究类型与适用范围不同，我们在刊物中分别说明，并提供文献查阅入口。</w:t>
      </w:r>
    </w:p>
    <w:p>
      <w:r>
        <w:t>我们也把产品放回真实场景。</w:t>
        <w:br/>
        <w:t>从人类健康、宠物护理到粮农与环境应用，不同系列产品面向不同问题。你可以从自己的渠道、服务人群和所在国家出发，选择适合进一步了解的品类；再共同核对用途、准入与合作条件。</w:t>
      </w:r>
    </w:p>
    <w:p>
      <w:r>
        <w:t>更重要的是，让你的资源找到参与的位置。</w:t>
        <w:br/>
        <w:t>有政府、科研、教育、医疗或公益资源，可以从一个研究、培训或示范项目开始。</w:t>
        <w:br/>
        <w:t>有渠道和市场资源，可以从一个国家、一类渠道、一组产品开始。</w:t>
        <w:br/>
        <w:t>有上市公司、产业与投资资源，可以从主业协同、联合研发、产品线拓展或产业化合作开始。</w:t>
      </w:r>
    </w:p>
    <w:p>
      <w:r>
        <w:t>首期由我们抛砖，下一期期待你来引玉。</w:t>
        <w:br/>
        <w:t>欢迎提交真实问题、实践案例、研究观点或合作设想。首次用300—800字说明即可，附资料来源、作者与联系方式。我们珍惜结果，也欢迎不同意见和有待解决的问题。</w:t>
      </w:r>
    </w:p>
    <w:p>
      <w:r>
        <w:t>获取创刊号、投稿或合作，请联系毛晓璐。</w:t>
        <w:br/>
        <w:t>公司电话：025-83400310。</w:t>
        <w:br/>
        <w:t>带上你的问题、资源与想法，与我们共同行动。</w:t>
      </w:r>
    </w:p>
    <w:p>
      <w:r>
        <w:t>执行备注：发布时插入海报01与海报03；能提供已验证阅读链接时放文末，否则由后台人工回复并发送中文版PDF。不要保留本段执行备注。</w:t>
      </w:r>
    </w:p>
    <w:p>
      <w:r>
        <w:br w:type="page"/>
      </w:r>
    </w:p>
    <w:p>
      <w:pPr>
        <w:pStyle w:val="Heading1"/>
      </w:pPr>
      <w:r>
        <w:t>二 小红书与朋友圈发布文案</w:t>
      </w:r>
    </w:p>
    <w:p>
      <w:pPr>
        <w:pStyle w:val="Heading2"/>
      </w:pPr>
      <w:r>
        <w:t>小红书 标题</w:t>
      </w:r>
    </w:p>
    <w:p>
      <w:r>
        <w:t>抗感染，多一条非药物路径｜创刊号</w:t>
      </w:r>
    </w:p>
    <w:p>
      <w:pPr>
        <w:pStyle w:val="Heading2"/>
      </w:pPr>
      <w:r>
        <w:t>小红书 正文</w:t>
      </w:r>
    </w:p>
    <w:p>
      <w:r>
        <w:t>面对感染与耐药挑战，我们希望把已有的中国实践带入更开放的交流。</w:t>
        <w:br/>
        <w:br/>
        <w:t>这份八页创刊号，介绍三个内容：</w:t>
        <w:br/>
        <w:t>①非药物路径的技术思路与代表性研究。</w:t>
        <w:br/>
        <w:t>②人类、动物、粮农和环境的系列产品与场景。</w:t>
        <w:br/>
        <w:t>③项目、产品和产业合作，分别可以从哪一步开始。</w:t>
        <w:br/>
        <w:br/>
        <w:t>你可以是一位研究者、一名渠道伙伴，也可以拥有政府、公益、产业或教育资源。带来一个真实问题、一段实践经验或一个合作设想，就是参与的开始。</w:t>
        <w:br/>
        <w:br/>
        <w:t>欢迎私信“创刊号”获取中文版资料；也欢迎发来“地区＋资源＋合作方向”，我们安排对应人员沟通。</w:t>
        <w:br/>
        <w:br/>
        <w:t>#同一健康 #科研合作 #产业合作 #非药物路径</w:t>
      </w:r>
    </w:p>
    <w:p>
      <w:r>
        <w:t>配图顺序：海报01→海报02→海报03。领取资料采用该账号允许且实际可用的私信或联系入口；不承诺平台不支持的自动回复。</w:t>
      </w:r>
    </w:p>
    <w:p>
      <w:pPr>
        <w:pStyle w:val="Heading2"/>
      </w:pPr>
      <w:r>
        <w:t>朋友圈 简短版</w:t>
      </w:r>
    </w:p>
    <w:p>
      <w:r>
        <w:t>《非药物路径抗感染》创刊号来了。</w:t>
        <w:br/>
        <w:t>抗感染革命，多一条非药物路径。</w:t>
        <w:br/>
        <w:t>我们先贡献中国实践，期待你带来问题、经验和资源。</w:t>
        <w:br/>
        <w:t>想了解科研项目、系列产品或产业合作，回复我“创刊号”，我把资料发给你。</w:t>
      </w:r>
    </w:p>
    <w:p>
      <w:pPr>
        <w:pStyle w:val="Heading2"/>
      </w:pPr>
      <w:r>
        <w:t>朋友圈 合作版</w:t>
      </w:r>
    </w:p>
    <w:p>
      <w:r>
        <w:t>你手中的科研、政府、公益、产业或渠道资源，可以成为一项具体合作的起点。</w:t>
        <w:br/>
        <w:t>《非药物路径抗感染》创刊号，把技术、证据、产品与合作入口放在了一起。欢迎回复“地区＋资源＋意向”，从一个问题、一个场景或一组产品开始对接。</w:t>
      </w:r>
    </w:p>
    <w:p>
      <w:pPr>
        <w:pStyle w:val="Heading2"/>
      </w:pPr>
      <w:r>
        <w:t>三平台短视频发布配文</w:t>
      </w:r>
    </w:p>
    <w:p>
      <w:r>
        <w:t>抗感染革命，多一条非药物路径。创刊号开放阅读与投稿：看中国实践，找应用场景，谈具体合作。私信“创刊号”获取中文版；合作请说明地区、资源和意向。</w:t>
      </w:r>
    </w:p>
    <w:p>
      <w:r>
        <w:t>视频号优先关联已发布公众号文章；抖音、快手按各自账号可用入口承接私信。三个平台共用内容主线，字幕和联系信息布局需分别预览。</w:t>
      </w:r>
    </w:p>
    <w:p>
      <w:r>
        <w:br w:type="page"/>
      </w:r>
    </w:p>
    <w:p>
      <w:pPr>
        <w:pStyle w:val="Heading1"/>
      </w:pPr>
      <w:r>
        <w:t>三 六十秒主视频制作脚本</w:t>
      </w:r>
    </w:p>
    <w:p>
      <w:r>
        <w:t>形式：竖屏9∶16；建议真人讲述或配音＋刊物翻页＋三张海报。时长约60秒，按实际配音微调。只使用已核实的产品照片或原刊页面，不模拟医生、患者或权威机构背书。</w:t>
      </w:r>
    </w:p>
    <w:tbl>
      <w:tblPr>
        <w:tblW w:type="auto" w:w="0"/>
        <w:tblLayout w:type="fixed"/>
        <w:tblLook w:firstColumn="1" w:firstRow="1" w:lastColumn="0" w:lastRow="0" w:noHBand="0" w:noVBand="1" w:val="04A0"/>
      </w:tblPr>
      <w:tblGrid>
        <w:gridCol w:w="936"/>
        <w:gridCol w:w="3096"/>
        <w:gridCol w:w="6192"/>
      </w:tblGrid>
      <w:tr>
        <w:trPr>
          <w:cantSplit/>
          <w:tblHeader/>
        </w:trPr>
        <w:tc>
          <w:tcPr>
            <w:tcW w:type="dxa" w:w="936"/>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时间</w:t>
            </w:r>
          </w:p>
        </w:tc>
        <w:tc>
          <w:tcPr>
            <w:tcW w:type="dxa" w:w="3096"/>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画面与大字幕</w:t>
            </w:r>
          </w:p>
        </w:tc>
        <w:tc>
          <w:tcPr>
            <w:tcW w:type="dxa" w:w="6192"/>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口播</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0—7秒</w:t>
            </w:r>
          </w:p>
        </w:tc>
        <w:tc>
          <w:tcPr>
            <w:tcW w:type="dxa" w:w="30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海报01主标题</w:t>
              <w:br/>
              <w:t>抗感染革命</w:t>
            </w:r>
          </w:p>
        </w:tc>
        <w:tc>
          <w:tcPr>
            <w:tcW w:type="dxa" w:w="61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抗感染革命，多一条非药物路径。我们用一份创刊号，邀请你共同参与。</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7—17秒</w:t>
            </w:r>
          </w:p>
        </w:tc>
        <w:tc>
          <w:tcPr>
            <w:tcW w:type="dxa" w:w="30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原刊第2—3页</w:t>
              <w:br/>
              <w:t>贡献中国实践</w:t>
            </w:r>
          </w:p>
        </w:tc>
        <w:tc>
          <w:tcPr>
            <w:tcW w:type="dxa" w:w="61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面对感染与耐药挑战，我们贡献已有的技术、产品与研究实践，寻找更多共同解决问题的伙伴。</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17—29秒</w:t>
            </w:r>
          </w:p>
        </w:tc>
        <w:tc>
          <w:tcPr>
            <w:tcW w:type="dxa" w:w="30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原刊第4页</w:t>
              <w:br/>
              <w:t>研究类型分别标注</w:t>
            </w:r>
          </w:p>
        </w:tc>
        <w:tc>
          <w:tcPr>
            <w:tcW w:type="dxa" w:w="61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从院内感染预防研究，到局部感染病例，我们展示结果，也说明证据范围，让创新接受进一步验证。</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29—40秒</w:t>
            </w:r>
          </w:p>
        </w:tc>
        <w:tc>
          <w:tcPr>
            <w:tcW w:type="dxa" w:w="30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原刊第5—6页</w:t>
              <w:br/>
              <w:t>人类 动物 粮农 环境</w:t>
            </w:r>
          </w:p>
        </w:tc>
        <w:tc>
          <w:tcPr>
            <w:tcW w:type="dxa" w:w="61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从人类、动物到粮农与环境，系列产品连接不同场景。你的渠道和资源，也许正是新的合作起点。</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40—51秒</w:t>
            </w:r>
          </w:p>
        </w:tc>
        <w:tc>
          <w:tcPr>
            <w:tcW w:type="dxa" w:w="30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海报03</w:t>
              <w:br/>
              <w:t>做项目 选产品 谈产业</w:t>
            </w:r>
          </w:p>
        </w:tc>
        <w:tc>
          <w:tcPr>
            <w:tcW w:type="dxa" w:w="61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有科研、政府、公益或市场资源，可以从一个问题、一组产品或一项产业合作开始。</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51—60秒</w:t>
            </w:r>
          </w:p>
        </w:tc>
        <w:tc>
          <w:tcPr>
            <w:tcW w:type="dxa" w:w="30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海报01结尾</w:t>
              <w:br/>
              <w:t>私信创刊号</w:t>
            </w:r>
          </w:p>
        </w:tc>
        <w:tc>
          <w:tcPr>
            <w:tcW w:type="dxa" w:w="61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私信“创刊号”，获取资料。带上你的问题、资源与想法，与我们共同行动。</w:t>
            </w:r>
          </w:p>
        </w:tc>
      </w:tr>
    </w:tbl>
    <w:p>
      <w:pPr>
        <w:spacing w:after="0"/>
      </w:pPr>
    </w:p>
    <w:p>
      <w:pPr>
        <w:pStyle w:val="Heading2"/>
      </w:pPr>
      <w:r>
        <w:t>剪辑交付标准</w:t>
      </w:r>
    </w:p>
    <w:p>
      <w:r>
        <w:t>字幕逐字校对，AMR首次出现释义为“抗微生物药物耐药性”；不把MRSA单例结果作为普遍疗效。结尾保留至少5秒行动入口。交付无平台水印成片与封面；背景音乐和图片确认可用授权。</w:t>
      </w:r>
    </w:p>
    <w:p>
      <w:pPr>
        <w:pStyle w:val="Heading2"/>
      </w:pPr>
      <w:r>
        <w:t>封面及结尾</w:t>
      </w:r>
    </w:p>
    <w:p>
      <w:r>
        <w:t>封面：抗感染革命／多一条非药物路径。</w:t>
        <w:br/>
        <w:t>结尾：获取创刊号｜提交问题｜提出合作。</w:t>
        <w:br/>
        <w:t>人工接待：毛晓璐；需要公开电话时使用公司电话025-83400310。</w:t>
      </w:r>
    </w:p>
    <w:p>
      <w:r>
        <w:br w:type="page"/>
      </w:r>
    </w:p>
    <w:p>
      <w:pPr>
        <w:pStyle w:val="Heading1"/>
      </w:pPr>
      <w:r>
        <w:t>四 三条短视频与直播提纲</w:t>
      </w:r>
    </w:p>
    <w:p>
      <w:pPr>
        <w:pStyle w:val="Heading2"/>
      </w:pPr>
      <w:r>
        <w:t>短视频一 共同行动 约三十秒</w:t>
      </w:r>
    </w:p>
    <w:p>
      <w:r>
        <w:t>一句新的主张，需要更多人共同验证。抗感染革命，多一条非药物路径。我们把中国实践、系列产品与合作邀请整理成一份创刊号。无论你有研究问题、应用场景还是市场资源，都欢迎参与。私信“创刊号”，从一个真实问题开始交流。</w:t>
      </w:r>
    </w:p>
    <w:p>
      <w:pPr>
        <w:pStyle w:val="Heading2"/>
      </w:pPr>
      <w:r>
        <w:t>短视频二 渠道合作 约三十秒</w:t>
      </w:r>
    </w:p>
    <w:p>
      <w:r>
        <w:t>你熟悉的市场，可以成为新合作的起点。人类健康、宠物护理、粮农与环境，不同系列产品对应不同场景。先告诉我们国家、渠道和目标人群，再一起选择品类、核对准入与供应条件，讨论试点。私信“产品”，获取创刊号与对应资料。</w:t>
      </w:r>
    </w:p>
    <w:p>
      <w:pPr>
        <w:pStyle w:val="Heading2"/>
      </w:pPr>
      <w:r>
        <w:t>短视频三 开放投稿 约三十秒</w:t>
      </w:r>
    </w:p>
    <w:p>
      <w:r>
        <w:t>这份刊物，期待你的下一页。一个尚未解决的难题、一段真实实践、一项研究或一个合作设想，都值得被看见。首次提交300到800字简介，附来源与联系方式即可。私信“投稿”，让我们把问题带入讨论，把资源连接到行动。</w:t>
      </w:r>
    </w:p>
    <w:p>
      <w:pPr>
        <w:pStyle w:val="Heading2"/>
      </w:pPr>
      <w:r>
        <w:t>二十分钟首发直播</w:t>
      </w:r>
    </w:p>
    <w:tbl>
      <w:tblPr>
        <w:tblW w:type="auto" w:w="0"/>
        <w:tblLayout w:type="fixed"/>
        <w:tblLook w:firstColumn="1" w:firstRow="1" w:lastColumn="0" w:lastRow="0" w:noHBand="0" w:noVBand="1" w:val="04A0"/>
      </w:tblPr>
      <w:tblGrid>
        <w:gridCol w:w="1296"/>
        <w:gridCol w:w="5184"/>
        <w:gridCol w:w="3744"/>
      </w:tblGrid>
      <w:tr>
        <w:trPr>
          <w:cantSplit/>
          <w:tblHeader/>
        </w:trPr>
        <w:tc>
          <w:tcPr>
            <w:tcW w:type="dxa" w:w="1296"/>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时段</w:t>
            </w:r>
          </w:p>
        </w:tc>
        <w:tc>
          <w:tcPr>
            <w:tcW w:type="dxa" w:w="5184"/>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内容</w:t>
            </w:r>
          </w:p>
        </w:tc>
        <w:tc>
          <w:tcPr>
            <w:tcW w:type="dxa" w:w="3744"/>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观众动作</w:t>
            </w:r>
          </w:p>
        </w:tc>
      </w:tr>
      <w:tr>
        <w:trPr>
          <w:cantSplit/>
        </w:trPr>
        <w:tc>
          <w:tcPr>
            <w:tcW w:type="dxa" w:w="12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0—2分钟</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介绍创刊缘起与本次交流范围</w:t>
            </w:r>
          </w:p>
        </w:tc>
        <w:tc>
          <w:tcPr>
            <w:tcW w:type="dxa" w:w="374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评论或私信关注方向</w:t>
            </w:r>
          </w:p>
        </w:tc>
      </w:tr>
      <w:tr>
        <w:trPr>
          <w:cantSplit/>
        </w:trPr>
        <w:tc>
          <w:tcPr>
            <w:tcW w:type="dxa" w:w="12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2—6分钟</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展示原刊技术页与两类代表性证据</w:t>
            </w:r>
          </w:p>
        </w:tc>
        <w:tc>
          <w:tcPr>
            <w:tcW w:type="dxa" w:w="374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选择希望深入了解的研究</w:t>
            </w:r>
          </w:p>
        </w:tc>
      </w:tr>
      <w:tr>
        <w:trPr>
          <w:cantSplit/>
        </w:trPr>
        <w:tc>
          <w:tcPr>
            <w:tcW w:type="dxa" w:w="12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6—10分钟</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展示四领域产品与人群渠道</w:t>
            </w:r>
          </w:p>
        </w:tc>
        <w:tc>
          <w:tcPr>
            <w:tcW w:type="dxa" w:w="374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说明国家、渠道和品类</w:t>
            </w:r>
          </w:p>
        </w:tc>
      </w:tr>
      <w:tr>
        <w:trPr>
          <w:cantSplit/>
        </w:trPr>
        <w:tc>
          <w:tcPr>
            <w:tcW w:type="dxa" w:w="12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10—14分钟</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介绍项目、产品及产业合作入口</w:t>
            </w:r>
          </w:p>
        </w:tc>
        <w:tc>
          <w:tcPr>
            <w:tcW w:type="dxa" w:w="374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选择一个合作方向</w:t>
            </w:r>
          </w:p>
        </w:tc>
      </w:tr>
      <w:tr>
        <w:trPr>
          <w:cantSplit/>
        </w:trPr>
        <w:tc>
          <w:tcPr>
            <w:tcW w:type="dxa" w:w="12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14—18分钟</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回答已核实问题；登记待核实问题</w:t>
            </w:r>
          </w:p>
        </w:tc>
        <w:tc>
          <w:tcPr>
            <w:tcW w:type="dxa" w:w="374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提交真实问题或投稿设想</w:t>
            </w:r>
          </w:p>
        </w:tc>
      </w:tr>
      <w:tr>
        <w:trPr>
          <w:cantSplit/>
        </w:trPr>
        <w:tc>
          <w:tcPr>
            <w:tcW w:type="dxa" w:w="1296"/>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18—20分钟</w:t>
            </w:r>
          </w:p>
        </w:tc>
        <w:tc>
          <w:tcPr>
            <w:tcW w:type="dxa" w:w="518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总结投稿与对接办法</w:t>
            </w:r>
          </w:p>
        </w:tc>
        <w:tc>
          <w:tcPr>
            <w:tcW w:type="dxa" w:w="374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私信领取资料并留下意向</w:t>
            </w:r>
          </w:p>
        </w:tc>
      </w:tr>
    </w:tbl>
    <w:p>
      <w:pPr>
        <w:spacing w:after="0"/>
      </w:pPr>
    </w:p>
    <w:p>
      <w:r>
        <w:t>开场口播：大家好，今天用二十分钟介绍我们的创刊号。我们先贡献实践，也邀请你带来问题和资源。请告诉我们你关注科研项目、产品市场，还是产业合作，我们按方向交流。</w:t>
      </w:r>
    </w:p>
    <w:p>
      <w:r>
        <w:t>结束口播：今天提到的研究和产品，都可以进一步查看资料。欢迎私信“创刊号”，并附地区、资源和合作方向。由毛晓璐协调对应人员继续沟通。</w:t>
      </w:r>
    </w:p>
    <w:p>
      <w:r>
        <w:br w:type="page"/>
      </w:r>
    </w:p>
    <w:p>
      <w:pPr>
        <w:pStyle w:val="Heading1"/>
      </w:pPr>
      <w:r>
        <w:t>五 私域转发与接待话术</w:t>
      </w:r>
    </w:p>
    <w:p>
      <w:pPr>
        <w:pStyle w:val="Heading2"/>
      </w:pPr>
      <w:r>
        <w:t>已有合作群 创刊邀请</w:t>
      </w:r>
    </w:p>
    <w:p>
      <w:r>
        <w:t>各位好，我们整理了《非药物路径抗感染》创刊号，随消息附中文版PDF。内容包括技术与证据、系列产品和合作方向。欢迎按自己的资源提出一个具体问题或合作设想；回复“地区＋资源＋方向”，由毛晓璐协调对接。也欢迎为后续刊物投稿。</w:t>
      </w:r>
    </w:p>
    <w:p>
      <w:pPr>
        <w:pStyle w:val="Heading2"/>
      </w:pPr>
      <w:r>
        <w:t>政府 公益 科研 教育伙伴</w:t>
      </w:r>
    </w:p>
    <w:p>
      <w:r>
        <w:t>您好，发您一份我们的创刊号，供了解非药物路径的中国实践。结合您掌握的资源，欢迎从临床研究、能力建设或一个示范场景讨论合作。您方便时告诉我们最关注的问题与可参与单位，我们先整理一页项目设想供交流。</w:t>
      </w:r>
    </w:p>
    <w:p>
      <w:pPr>
        <w:pStyle w:val="Heading2"/>
      </w:pPr>
      <w:r>
        <w:t>外贸与渠道伙伴</w:t>
      </w:r>
    </w:p>
    <w:p>
      <w:r>
        <w:t>您好，这份创刊号包含系列产品与市场合作入口。请您先选一个熟悉的国家、一类渠道和目标人群，我们提供对应产品及准入资料，一起核对供应条件和试点方式。方便的话，回复“国家＋渠道＋品类”即可。</w:t>
      </w:r>
    </w:p>
    <w:p>
      <w:pPr>
        <w:pStyle w:val="Heading2"/>
      </w:pPr>
      <w:r>
        <w:t>上市公司与产业伙伴</w:t>
      </w:r>
    </w:p>
    <w:p>
      <w:r>
        <w:t>您好，发您创刊号供初步了解。我们希望围绕贵公司的主业，讨论联合研发、产品线拓展或产业化与市场合作。您可先反馈关注的业务方向与资源条件，我们匹配具体项目，再安排技术、市场与投入条件沟通。</w:t>
      </w:r>
    </w:p>
    <w:p>
      <w:pPr>
        <w:pStyle w:val="Heading2"/>
      </w:pPr>
      <w:r>
        <w:t>收到创刊号请求</w:t>
      </w:r>
    </w:p>
    <w:p>
      <w:r>
        <w:t>您好，我是负责编辑与合作协调的毛晓璐，先把中文版创刊号发您。您主要关注科研／公共项目、产品渠道，还是产业投资？告诉我地区和方向，我再提供对应资料。</w:t>
      </w:r>
    </w:p>
    <w:p>
      <w:pPr>
        <w:pStyle w:val="Heading2"/>
      </w:pPr>
      <w:r>
        <w:t>收到投稿请求</w:t>
      </w:r>
    </w:p>
    <w:p>
      <w:r>
        <w:t>感谢参与。请先发300—800字简介，说明问题或经验、作者与机构、资料来源、联系方式和可公开范围。我们收到后安排编辑及相关人员查看，再与您沟通是否需要补充全文。</w:t>
      </w:r>
    </w:p>
    <w:p>
      <w:pPr>
        <w:pStyle w:val="Heading2"/>
      </w:pPr>
      <w:r>
        <w:t>暂时无法回答</w:t>
      </w:r>
    </w:p>
    <w:p>
      <w:r>
        <w:t>这个问题需要对应的研究或产品资料确认。我先记录，由相关负责人核实后回复您，并告知预计回复时间。</w:t>
      </w:r>
    </w:p>
    <w:p>
      <w:r>
        <w:t>建议接待规则：1个工作日内确认收到；2个工作日内明确主责人与下一步。群发前确认关系与联系许可；不将未同意的联系人直接拉群。</w:t>
      </w:r>
    </w:p>
    <w:p>
      <w:r>
        <w:br w:type="page"/>
      </w:r>
    </w:p>
    <w:p>
      <w:pPr>
        <w:pStyle w:val="Heading1"/>
      </w:pPr>
      <w:r>
        <w:t>六 海外英文传播文案</w:t>
      </w:r>
    </w:p>
    <w:p>
      <w:pPr>
        <w:pStyle w:val="Heading2"/>
      </w:pPr>
      <w:r>
        <w:t>LinkedIn 首发帖</w:t>
      </w:r>
    </w:p>
    <w:p>
      <w:r>
        <w:t>A new path in infection control: exploring non-drug approaches.</w:t>
        <w:br/>
        <w:br/>
        <w:t>We are introducing the inaugural Chinese-language issue of our One Health cooperation bulletin. It brings together our technology approach, selected research, product categories and opportunities for collaboration across human health, animal health, agrifood and the environment.</w:t>
        <w:br/>
        <w:br/>
        <w:t>We welcome researchers, public-sector and philanthropic partners, industry teams and distributors to contribute a real-world challenge, an evidence-based case or a collaboration proposal.</w:t>
        <w:br/>
        <w:br/>
        <w:t>The starting point can be small: one research question, one application setting or one market.</w:t>
        <w:br/>
        <w:br/>
        <w:t>Message us to request the Chinese-language issue and tell us your country, area of interest and available resources. We will arrange a relevant follow-up.</w:t>
        <w:br/>
        <w:br/>
        <w:t>#OneHealth #AMR #ResearchCollaboration</w:t>
      </w:r>
    </w:p>
    <w:p>
      <w:pPr>
        <w:pStyle w:val="Heading2"/>
      </w:pPr>
      <w:r>
        <w:t>Instagram 与短视频英文配文</w:t>
      </w:r>
    </w:p>
    <w:p>
      <w:r>
        <w:t>One real-world challenge can start a collaboration. Our new Chinese-language bulletin introduces non-drug approaches, selected evidence and product categories across One Health. Message us for the issue or share your country and area of interest. #OneHealth #AMR</w:t>
      </w:r>
    </w:p>
    <w:p>
      <w:r>
        <w:br w:type="page"/>
      </w:r>
    </w:p>
    <w:p>
      <w:pPr>
        <w:pStyle w:val="Heading1"/>
      </w:pPr>
      <w:r>
        <w:t>海外邮件与即时沟通</w:t>
      </w:r>
    </w:p>
    <w:p>
      <w:pPr>
        <w:pStyle w:val="Heading2"/>
      </w:pPr>
      <w:r>
        <w:t>Email Subject</w:t>
      </w:r>
    </w:p>
    <w:p>
      <w:r>
        <w:t>Invitation to explore non-drug approaches to infection control</w:t>
      </w:r>
    </w:p>
    <w:p>
      <w:pPr>
        <w:pStyle w:val="Heading2"/>
      </w:pPr>
      <w:r>
        <w:t>Email Body</w:t>
      </w:r>
    </w:p>
    <w:p>
      <w:r>
        <w:t>Hello,</w:t>
        <w:br/>
        <w:br/>
        <w:t>I am sharing the inaugural Chinese-language issue of our cooperation bulletin from the JUC team in Nanjing, China. It introduces our work on non-drug approaches, selected evidence, product categories and potential collaborations.</w:t>
        <w:br/>
        <w:br/>
        <w:t>We would welcome a discussion around your research, application or market priorities. Please let us know your country, relevant resources and the problem you would like to address. We can then identify a suitable next step together.</w:t>
        <w:br/>
        <w:br/>
        <w:t>Contributions and alternative viewpoints are also welcome.</w:t>
        <w:br/>
        <w:br/>
        <w:t>Best regards,</w:t>
        <w:br/>
        <w:t>Xiaolu Mao</w:t>
        <w:br/>
        <w:t>Editorial and Cooperation Coordinator</w:t>
        <w:br/>
        <w:t>Company telephone: +86 25 83400310</w:t>
      </w:r>
    </w:p>
    <w:p>
      <w:r>
        <w:t>内部执行备注：毛晓璐英文署名按本人对外习惯确认；发送时附中文版PDF。仅发送给已有联系或适当授权的收件人。本工具包没有自动发送邮件。</w:t>
      </w:r>
    </w:p>
    <w:p>
      <w:pPr>
        <w:pStyle w:val="Heading2"/>
      </w:pPr>
      <w:r>
        <w:t>WhatsApp 一对一邀请</w:t>
      </w:r>
    </w:p>
    <w:p>
      <w:r>
        <w:t>Hello, I would like to share our new Chinese-language bulletin on non-drug approaches to infection control. It introduces selected evidence, product categories and collaboration opportunities. May I send you the PDF? If relevant, please let me know your country and area of interest.</w:t>
      </w:r>
    </w:p>
    <w:p>
      <w:pPr>
        <w:pStyle w:val="Heading2"/>
      </w:pPr>
      <w:r>
        <w:t>收到同意后</w:t>
      </w:r>
    </w:p>
    <w:p>
      <w:r>
        <w:t>Thank you. Here is the Chinese-language issue. Are you mainly interested in research and public-interest projects, product distribution, or industry collaboration? We can arrange a focused follow-up.</w:t>
      </w:r>
    </w:p>
    <w:p>
      <w:r>
        <w:br w:type="page"/>
      </w:r>
    </w:p>
    <w:p>
      <w:pPr>
        <w:pStyle w:val="Heading1"/>
      </w:pPr>
      <w:r>
        <w:t>七 首发安排与结果记录</w:t>
      </w:r>
    </w:p>
    <w:p>
      <w:r>
        <w:t>T为公司审定并具备接待条件的首发日。下表是执行建议，不代表已安排自动发布。毛晓璐填写实际日期与人员。</w:t>
      </w:r>
    </w:p>
    <w:tbl>
      <w:tblPr>
        <w:tblW w:type="auto" w:w="0"/>
        <w:tblLayout w:type="fixed"/>
        <w:tblLook w:firstColumn="1" w:firstRow="1" w:lastColumn="0" w:lastRow="0" w:noHBand="0" w:noVBand="1" w:val="04A0"/>
      </w:tblPr>
      <w:tblGrid>
        <w:gridCol w:w="1224"/>
        <w:gridCol w:w="5328"/>
        <w:gridCol w:w="3672"/>
      </w:tblGrid>
      <w:tr>
        <w:trPr>
          <w:cantSplit/>
          <w:tblHeader/>
        </w:trPr>
        <w:tc>
          <w:tcPr>
            <w:tcW w:type="dxa" w:w="1224"/>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节点</w:t>
            </w:r>
          </w:p>
        </w:tc>
        <w:tc>
          <w:tcPr>
            <w:tcW w:type="dxa" w:w="5328"/>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发布或动作</w:t>
            </w:r>
          </w:p>
        </w:tc>
        <w:tc>
          <w:tcPr>
            <w:tcW w:type="dxa" w:w="3672"/>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主责与验收</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T前1日</w:t>
            </w:r>
          </w:p>
        </w:tc>
        <w:tc>
          <w:tcPr>
            <w:tcW w:type="dxa" w:w="532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确认文章、三张海报、PDF和资料领取办法</w:t>
            </w:r>
          </w:p>
        </w:tc>
        <w:tc>
          <w:tcPr>
            <w:tcW w:type="dxa" w:w="36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毛晓璐；版本与接待人明确</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T日</w:t>
            </w:r>
          </w:p>
        </w:tc>
        <w:tc>
          <w:tcPr>
            <w:tcW w:type="dxa" w:w="532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公众号首发；朋友圈与已有合作群转发海报01</w:t>
            </w:r>
          </w:p>
        </w:tc>
        <w:tc>
          <w:tcPr>
            <w:tcW w:type="dxa" w:w="36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传播执行人；记录链接或截图</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T＋1日</w:t>
            </w:r>
          </w:p>
        </w:tc>
        <w:tc>
          <w:tcPr>
            <w:tcW w:type="dxa" w:w="532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小红书三图文；向相关海外伙伴发布英文帖</w:t>
            </w:r>
          </w:p>
        </w:tc>
        <w:tc>
          <w:tcPr>
            <w:tcW w:type="dxa" w:w="36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账号负责人；入口可用</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T＋2日</w:t>
            </w:r>
          </w:p>
        </w:tc>
        <w:tc>
          <w:tcPr>
            <w:tcW w:type="dxa" w:w="532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发布60秒主视频及第一条短视频</w:t>
            </w:r>
          </w:p>
        </w:tc>
        <w:tc>
          <w:tcPr>
            <w:tcW w:type="dxa" w:w="36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视频负责人；成片与发布记录</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T＋3日</w:t>
            </w:r>
          </w:p>
        </w:tc>
        <w:tc>
          <w:tcPr>
            <w:tcW w:type="dxa" w:w="532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定向发送项目／渠道／产业合作话术</w:t>
            </w:r>
          </w:p>
        </w:tc>
        <w:tc>
          <w:tcPr>
            <w:tcW w:type="dxa" w:w="36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业务负责人；有回复则登记需求</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T＋4至6日</w:t>
            </w:r>
          </w:p>
        </w:tc>
        <w:tc>
          <w:tcPr>
            <w:tcW w:type="dxa" w:w="532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发布其余短视频；组织一次专题直播</w:t>
            </w:r>
          </w:p>
        </w:tc>
        <w:tc>
          <w:tcPr>
            <w:tcW w:type="dxa" w:w="36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传播人员＋业务人员；问题有主责人</w:t>
            </w:r>
          </w:p>
        </w:tc>
      </w:tr>
      <w:tr>
        <w:trPr>
          <w:cantSplit/>
        </w:trPr>
        <w:tc>
          <w:tcPr>
            <w:tcW w:type="dxa" w:w="1224"/>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T＋7日</w:t>
            </w:r>
          </w:p>
        </w:tc>
        <w:tc>
          <w:tcPr>
            <w:tcW w:type="dxa" w:w="532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汇总咨询、投稿及对接，决定下一期选题</w:t>
            </w:r>
          </w:p>
        </w:tc>
        <w:tc>
          <w:tcPr>
            <w:tcW w:type="dxa" w:w="36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毛晓璐＋AI主编；形成改进清单</w:t>
            </w:r>
          </w:p>
        </w:tc>
      </w:tr>
    </w:tbl>
    <w:p>
      <w:pPr>
        <w:spacing w:after="0"/>
      </w:pPr>
    </w:p>
    <w:p>
      <w:pPr>
        <w:pStyle w:val="Heading2"/>
      </w:pPr>
      <w:r>
        <w:t>只维护一张结果表</w:t>
      </w:r>
    </w:p>
    <w:tbl>
      <w:tblPr>
        <w:tblW w:type="auto" w:w="0"/>
        <w:tblLayout w:type="fixed"/>
        <w:tblLook w:firstColumn="1" w:firstRow="1" w:lastColumn="0" w:lastRow="0" w:noHBand="0" w:noVBand="1" w:val="04A0"/>
      </w:tblPr>
      <w:tblGrid>
        <w:gridCol w:w="1872"/>
        <w:gridCol w:w="2592"/>
        <w:gridCol w:w="1152"/>
        <w:gridCol w:w="2448"/>
        <w:gridCol w:w="2160"/>
      </w:tblGrid>
      <w:tr>
        <w:trPr>
          <w:cantSplit/>
          <w:tblHeader/>
        </w:trPr>
        <w:tc>
          <w:tcPr>
            <w:tcW w:type="dxa" w:w="1872"/>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来源与日期</w:t>
            </w:r>
          </w:p>
        </w:tc>
        <w:tc>
          <w:tcPr>
            <w:tcW w:type="dxa" w:w="2592"/>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对象与需求</w:t>
            </w:r>
          </w:p>
        </w:tc>
        <w:tc>
          <w:tcPr>
            <w:tcW w:type="dxa" w:w="1152"/>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主责人</w:t>
            </w:r>
          </w:p>
        </w:tc>
        <w:tc>
          <w:tcPr>
            <w:tcW w:type="dxa" w:w="2448"/>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下一步与期限</w:t>
            </w:r>
          </w:p>
        </w:tc>
        <w:tc>
          <w:tcPr>
            <w:tcW w:type="dxa" w:w="2160"/>
            <w:vAlign w:val="center"/>
            <w:tcBorders>
              <w:top w:val="single" w:sz="4" w:color="D9D9D9"/>
              <w:left w:val="single" w:sz="4" w:color="D9D9D9"/>
              <w:bottom w:val="single" w:sz="4" w:color="D9D9D9"/>
              <w:right w:val="single" w:sz="4" w:color="D9D9D9"/>
            </w:tcBorders>
            <w:shd w:fill="E7EDF2"/>
            <w:tcMar>
              <w:top w:w="50" w:type="dxa"/>
              <w:left w:w="50" w:type="dxa"/>
              <w:bottom w:w="50" w:type="dxa"/>
              <w:right w:w="50" w:type="dxa"/>
            </w:tcMar>
          </w:tcPr>
          <w:p>
            <w:pPr>
              <w:spacing w:after="60" w:before="60"/>
            </w:pPr>
            <w:r>
              <w:rPr>
                <w:b/>
                <w:sz w:val="18"/>
              </w:rPr>
              <w:t>实际结果</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5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115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44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160"/>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5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115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44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160"/>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59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1152"/>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448"/>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c>
          <w:tcPr>
            <w:tcW w:type="dxa" w:w="2160"/>
            <w:vAlign w:val="center"/>
            <w:tcBorders>
              <w:top w:val="single" w:sz="4" w:color="D9D9D9"/>
              <w:left w:val="single" w:sz="4" w:color="D9D9D9"/>
              <w:bottom w:val="single" w:sz="4" w:color="D9D9D9"/>
              <w:right w:val="single" w:sz="4" w:color="D9D9D9"/>
            </w:tcBorders>
            <w:shd w:fill="FFFFFF"/>
            <w:tcMar>
              <w:top w:w="50" w:type="dxa"/>
              <w:left w:w="50" w:type="dxa"/>
              <w:bottom w:w="50" w:type="dxa"/>
              <w:right w:w="50" w:type="dxa"/>
            </w:tcMar>
          </w:tcPr>
          <w:p>
            <w:pPr>
              <w:spacing w:after="60" w:before="60"/>
            </w:pPr>
            <w:r>
              <w:rPr>
                <w:b w:val="0"/>
                <w:sz w:val="18"/>
              </w:rPr>
              <w:t>____</w:t>
            </w:r>
          </w:p>
        </w:tc>
      </w:tr>
    </w:tbl>
    <w:p>
      <w:pPr>
        <w:spacing w:after="0"/>
      </w:pPr>
    </w:p>
    <w:p>
      <w:r>
        <w:t>分开统计：曝光／阅读、资料请求、有效合作线索、投稿、已完成对接、实际项目。有效合作线索至少包含明确方向和可联系对象；不要把点赞或单纯索取资料计为项目。</w:t>
      </w:r>
    </w:p>
    <w:p>
      <w:pPr>
        <w:pStyle w:val="Heading2"/>
      </w:pPr>
      <w:r>
        <w:t>资料与内容来源</w:t>
      </w:r>
    </w:p>
    <w:p>
      <w:r>
        <w:t>基础文本：《非药物路径抗感染》创刊号，2026年11月版。</w:t>
        <w:br/>
        <w:t>2024院感研究：DOI 10.1186/s13756-024-01450-0。</w:t>
        <w:br/>
        <w:t>2025在线MRSA病例：DOI 10.1097/MJT.0000000000001955。</w:t>
        <w:br/>
        <w:t>1000+为公司文献资料库口径。两类研究均不得外推为所有感染的普遍疗效。</w:t>
      </w:r>
    </w:p>
    <w:p>
      <w:r>
        <w:t>本次交付：可编辑传媒文案与脚本手册1份、独立手机海报3张。下一轮执行输入：各账号负责人、计划日期、视频素材和接待反馈。</w:t>
      </w:r>
    </w:p>
    <w:sectPr w:rsidR="00FC693F" w:rsidRPr="0006063C" w:rsidSect="00034616">
      <w:headerReference w:type="default" r:id="rId9"/>
      <w:footerReference w:type="default" r:id="rId10"/>
      <w:pgSz w:w="12240" w:h="15840"/>
      <w:pgMar w:top="720" w:right="1008" w:bottom="720"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内部工作手册  V1.0  ·  2026年11月3日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南京神奇科技开发有限公司  |  编辑与传播执行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snapToGrid w:val="0"/>
    </w:pPr>
    <w:rPr>
      <w:rFonts w:ascii="Noto Sans CJK SC" w:hAnsi="Noto Sans CJK SC" w:eastAsia="Noto Sans CJK SC"/>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snapToGrid w:val="0"/>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snapToGrid w:val="0"/>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snapToGrid w:val="0"/>
    </w:pPr>
    <w:rPr>
      <w:rFonts w:asciiTheme="majorHAnsi" w:eastAsiaTheme="majorEastAsia" w:hAnsiTheme="majorHAnsi" w:cstheme="majorBidi" w:ascii="Noto Sans CJK SC" w:hAnsi="Noto Sans CJK SC" w:eastAsia="Noto Sans CJK SC"/>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snapToGrid w:val="0"/>
    </w:pPr>
    <w:rPr>
      <w:rFonts w:asciiTheme="majorHAnsi" w:eastAsiaTheme="majorEastAsia" w:hAnsiTheme="majorHAnsi" w:cstheme="majorBidi" w:ascii="Noto Sans CJK SC" w:hAnsi="Noto Sans CJK SC" w:eastAsia="Noto Sans CJK S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snapToGrid w:val="0"/>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snapToGrid w:val="0"/>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napToGrid w:val="0"/>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napToGrid w:val="0"/>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napToGrid w:val="0"/>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napToGrid w:val="0"/>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napToGrid w:val="0"/>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snapToGrid w:val="0"/>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snapToGrid w:val="0"/>
    </w:pPr>
    <w:rPr>
      <w:rFonts w:asciiTheme="majorHAnsi" w:eastAsiaTheme="majorEastAsia" w:hAnsiTheme="majorHAnsi" w:cstheme="majorBidi" w:ascii="Noto Sans CJK SC" w:hAnsi="Noto Sans CJK SC" w:eastAsia="Noto Sans CJK SC"/>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napToGrid w:val="0"/>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snapToGrid w:val="0"/>
    </w:pPr>
    <w:rPr>
      <w:color w:val="000000"/>
    </w:rPr>
  </w:style>
  <w:style w:type="paragraph" w:styleId="BodyText">
    <w:name w:val="Body Text"/>
    <w:basedOn w:val="Normal"/>
    <w:link w:val="BodyTextChar"/>
    <w:uiPriority w:val="99"/>
    <w:unhideWhenUsed/>
    <w:rsid w:val="00AA1D8D"/>
    <w:pPr>
      <w:spacing w:after="120"/>
      <w:snapToGrid w:val="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snapToGrid w:val="0"/>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snapToGrid w:val="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snapToGrid w:val="0"/>
    </w:pPr>
    <w:rPr>
      <w:color w:val="000000"/>
    </w:rPr>
  </w:style>
  <w:style w:type="paragraph" w:styleId="List2">
    <w:name w:val="List 2"/>
    <w:basedOn w:val="Normal"/>
    <w:uiPriority w:val="99"/>
    <w:unhideWhenUsed/>
    <w:rsid w:val="00326F90"/>
    <w:pPr>
      <w:ind w:left="720" w:hanging="360"/>
      <w:contextualSpacing/>
      <w:snapToGrid w:val="0"/>
    </w:pPr>
    <w:rPr>
      <w:color w:val="000000"/>
    </w:rPr>
  </w:style>
  <w:style w:type="paragraph" w:styleId="List3">
    <w:name w:val="List 3"/>
    <w:basedOn w:val="Normal"/>
    <w:uiPriority w:val="99"/>
    <w:unhideWhenUsed/>
    <w:rsid w:val="00326F90"/>
    <w:pPr>
      <w:ind w:left="1080" w:hanging="360"/>
      <w:contextualSpacing/>
      <w:snapToGrid w:val="0"/>
    </w:pPr>
    <w:rPr>
      <w:color w:val="000000"/>
    </w:rPr>
  </w:style>
  <w:style w:type="paragraph" w:styleId="ListBullet">
    <w:name w:val="List Bullet"/>
    <w:basedOn w:val="Normal"/>
    <w:uiPriority w:val="99"/>
    <w:unhideWhenUsed/>
    <w:rsid w:val="00326F90"/>
    <w:pPr>
      <w:numPr>
        <w:numId w:val="1"/>
      </w:numPr>
      <w:contextualSpacing/>
      <w:snapToGrid w:val="0"/>
    </w:pPr>
    <w:rPr>
      <w:color w:val="000000"/>
    </w:rPr>
  </w:style>
  <w:style w:type="paragraph" w:styleId="ListBullet2">
    <w:name w:val="List Bullet 2"/>
    <w:basedOn w:val="Normal"/>
    <w:uiPriority w:val="99"/>
    <w:unhideWhenUsed/>
    <w:rsid w:val="00326F90"/>
    <w:pPr>
      <w:numPr>
        <w:numId w:val="2"/>
      </w:numPr>
      <w:contextualSpacing/>
      <w:snapToGrid w:val="0"/>
    </w:pPr>
    <w:rPr>
      <w:color w:val="000000"/>
    </w:rPr>
  </w:style>
  <w:style w:type="paragraph" w:styleId="ListBullet3">
    <w:name w:val="List Bullet 3"/>
    <w:basedOn w:val="Normal"/>
    <w:uiPriority w:val="99"/>
    <w:unhideWhenUsed/>
    <w:rsid w:val="00326F90"/>
    <w:pPr>
      <w:numPr>
        <w:numId w:val="3"/>
      </w:numPr>
      <w:contextualSpacing/>
      <w:snapToGrid w:val="0"/>
    </w:pPr>
    <w:rPr>
      <w:color w:val="000000"/>
    </w:rPr>
  </w:style>
  <w:style w:type="paragraph" w:styleId="ListNumber">
    <w:name w:val="List Number"/>
    <w:basedOn w:val="Normal"/>
    <w:uiPriority w:val="99"/>
    <w:unhideWhenUsed/>
    <w:rsid w:val="00326F90"/>
    <w:pPr>
      <w:numPr>
        <w:numId w:val="5"/>
      </w:numPr>
      <w:contextualSpacing/>
      <w:snapToGrid w:val="0"/>
    </w:pPr>
    <w:rPr>
      <w:color w:val="000000"/>
    </w:rPr>
  </w:style>
  <w:style w:type="paragraph" w:styleId="ListNumber2">
    <w:name w:val="List Number 2"/>
    <w:basedOn w:val="Normal"/>
    <w:uiPriority w:val="99"/>
    <w:unhideWhenUsed/>
    <w:rsid w:val="0029639D"/>
    <w:pPr>
      <w:numPr>
        <w:numId w:val="6"/>
      </w:numPr>
      <w:contextualSpacing/>
      <w:snapToGrid w:val="0"/>
    </w:pPr>
    <w:rPr>
      <w:color w:val="000000"/>
    </w:rPr>
  </w:style>
  <w:style w:type="paragraph" w:styleId="ListNumber3">
    <w:name w:val="List Number 3"/>
    <w:basedOn w:val="Normal"/>
    <w:uiPriority w:val="99"/>
    <w:unhideWhenUsed/>
    <w:rsid w:val="0029639D"/>
    <w:pPr>
      <w:numPr>
        <w:numId w:val="7"/>
      </w:numPr>
      <w:contextualSpacing/>
      <w:snapToGrid w:val="0"/>
    </w:pPr>
    <w:rPr>
      <w:color w:val="000000"/>
    </w:rPr>
  </w:style>
  <w:style w:type="paragraph" w:styleId="ListContinue">
    <w:name w:val="List Continue"/>
    <w:basedOn w:val="Normal"/>
    <w:uiPriority w:val="99"/>
    <w:unhideWhenUsed/>
    <w:rsid w:val="0029639D"/>
    <w:pPr>
      <w:spacing w:after="120"/>
      <w:ind w:left="360"/>
      <w:contextualSpacing/>
      <w:snapToGrid w:val="0"/>
    </w:pPr>
    <w:rPr>
      <w:color w:val="000000"/>
    </w:rPr>
  </w:style>
  <w:style w:type="paragraph" w:styleId="ListContinue2">
    <w:name w:val="List Continue 2"/>
    <w:basedOn w:val="Normal"/>
    <w:uiPriority w:val="99"/>
    <w:unhideWhenUsed/>
    <w:rsid w:val="0029639D"/>
    <w:pPr>
      <w:spacing w:after="120"/>
      <w:ind w:left="720"/>
      <w:contextualSpacing/>
      <w:snapToGrid w:val="0"/>
    </w:pPr>
    <w:rPr>
      <w:color w:val="000000"/>
    </w:rPr>
  </w:style>
  <w:style w:type="paragraph" w:styleId="ListContinue3">
    <w:name w:val="List Continue 3"/>
    <w:basedOn w:val="Normal"/>
    <w:uiPriority w:val="99"/>
    <w:unhideWhenUsed/>
    <w:rsid w:val="0029639D"/>
    <w:pPr>
      <w:spacing w:after="120"/>
      <w:ind w:left="1080"/>
      <w:contextualSpacing/>
      <w:snapToGrid w:val="0"/>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napToGrid w:val="0"/>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napToGrid w:val="0"/>
    </w:pPr>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snapToGrid w:val="0"/>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snapToGrid w:val="0"/>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napToGrid w:val="0"/>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